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DF" w:rsidRDefault="005F6FDF" w:rsidP="005F43B6">
      <w:pPr>
        <w:pStyle w:val="22"/>
        <w:keepNext/>
        <w:keepLines/>
        <w:shd w:val="clear" w:color="auto" w:fill="auto"/>
        <w:tabs>
          <w:tab w:val="left" w:pos="1461"/>
        </w:tabs>
        <w:spacing w:after="268" w:line="280" w:lineRule="exact"/>
        <w:ind w:firstLine="0"/>
      </w:pPr>
      <w:bookmarkStart w:id="0" w:name="bookmark6"/>
      <w:r>
        <w:rPr>
          <w:color w:val="000000"/>
          <w:lang w:eastAsia="ru-RU" w:bidi="ru-RU"/>
        </w:rPr>
        <w:t xml:space="preserve">           Порядок и условия предоставления медицинской помощи</w:t>
      </w:r>
      <w:bookmarkEnd w:id="0"/>
      <w:r w:rsidR="005F43B6">
        <w:rPr>
          <w:color w:val="000000"/>
          <w:lang w:eastAsia="ru-RU" w:bidi="ru-RU"/>
        </w:rPr>
        <w:t xml:space="preserve"> на 2018г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555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5F6FDF" w:rsidRPr="007339F7" w:rsidRDefault="005F6FDF" w:rsidP="005F6FDF">
      <w:pPr>
        <w:widowControl w:val="0"/>
        <w:numPr>
          <w:ilvl w:val="0"/>
          <w:numId w:val="3"/>
        </w:numPr>
        <w:tabs>
          <w:tab w:val="left" w:pos="1450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Понятие "лечащий врач" используется в Программе в значении, определенном в Федеральном законе от 21.11.2011 № 323-ФЗ "Об основах охраны здоровья граждан в Российской Федерации".</w:t>
      </w:r>
    </w:p>
    <w:p w:rsidR="005F6FDF" w:rsidRPr="007339F7" w:rsidRDefault="005F6FDF" w:rsidP="005F6FDF">
      <w:pPr>
        <w:widowControl w:val="0"/>
        <w:numPr>
          <w:ilvl w:val="0"/>
          <w:numId w:val="3"/>
        </w:numPr>
        <w:tabs>
          <w:tab w:val="left" w:pos="1446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5F6FDF" w:rsidRPr="007339F7" w:rsidRDefault="005F6FDF" w:rsidP="005F6FDF">
      <w:pPr>
        <w:tabs>
          <w:tab w:val="left" w:pos="595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№ 407н «Об утверждении</w:t>
      </w:r>
    </w:p>
    <w:p w:rsidR="005F6FDF" w:rsidRPr="007339F7" w:rsidRDefault="005F6FDF" w:rsidP="005F6FD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5F6FDF" w:rsidRPr="007339F7" w:rsidRDefault="00AF37FD" w:rsidP="005F6FDF">
      <w:pPr>
        <w:widowControl w:val="0"/>
        <w:numPr>
          <w:ilvl w:val="0"/>
          <w:numId w:val="2"/>
        </w:numPr>
        <w:tabs>
          <w:tab w:val="left" w:pos="1450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hyperlink w:anchor="bookmark10" w:tooltip="Current Document">
        <w:r w:rsidR="005F6FDF" w:rsidRPr="007339F7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Порядок </w:t>
        </w:r>
      </w:hyperlink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446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лекарственных препаратов, медицинских изделий, специализированных продуктов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согласно приложению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20 к Программе.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296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Программе.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430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Перечень мероприятий по профилактике заболеваний и формированию здорового образа жизни.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мероприятия по формированию здорового образа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жизни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5F6FDF" w:rsidRPr="007339F7" w:rsidRDefault="005F6FDF" w:rsidP="005F6FDF">
      <w:pPr>
        <w:tabs>
          <w:tab w:val="left" w:pos="3942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медицинские осмотры: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профилактические медицинские осмотры;</w:t>
      </w:r>
    </w:p>
    <w:p w:rsidR="005F6FDF" w:rsidRPr="007339F7" w:rsidRDefault="005F6FDF" w:rsidP="00246BB3">
      <w:pPr>
        <w:tabs>
          <w:tab w:val="left" w:pos="704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медицинские осмотры несовершеннолетних и обучающихся в образовательных организациях по очной форме: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предварительные, периодические; обязательные предварительные 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</w:t>
      </w:r>
      <w:proofErr w:type="gramEnd"/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по вопросам сохранения и укрепления здоровья, профилактике заболеваний;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предупреждению абортов;</w:t>
      </w:r>
    </w:p>
    <w:p w:rsidR="005F6FDF" w:rsidRPr="007339F7" w:rsidRDefault="005F6FDF" w:rsidP="005F6FDF">
      <w:pPr>
        <w:spacing w:after="0" w:line="36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диспансерное наблюдение несовершеннолетних, женщин в период беременности и лиц с хроническими заболеваниями; диспансеризация отдельных категорий граждан.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Диспансеризация проводится в отношении следующих категорий граждан:</w:t>
      </w:r>
    </w:p>
    <w:p w:rsidR="005F6FDF" w:rsidRPr="007339F7" w:rsidRDefault="005F6FDF" w:rsidP="005F6FDF">
      <w:pPr>
        <w:spacing w:after="0" w:line="36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определенных гру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пп взр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ослого населения; диспансеризация детей-сирот и детей, оставшихся без попечения</w:t>
      </w:r>
    </w:p>
    <w:p w:rsidR="005F6FDF" w:rsidRPr="007339F7" w:rsidRDefault="005F6FDF" w:rsidP="005F6FD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родителей, в том числе усыновленных (удочеренных), принятых под опеку (попечительство) в приемную или патронатную семью;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инвалидность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которых наступила вследствие их противоправных действий);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отдельных категорий граждан, право которых на прохождение диспансеризации в течение всей жизни закреплено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 г. № 175- 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производственном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объединении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«Маяк» и сбросов радиоактивных отходов в реку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Теча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262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Перечень медицинских организаций, участвующих в реализации Программы, в том числе Территориальной программы ОМС, определен в приложении № 1 к Программе.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262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круглосуточных стационарах госпитализация в больничное (стационарное) учреждение осуществляется:</w:t>
      </w:r>
    </w:p>
    <w:p w:rsidR="005F6FDF" w:rsidRPr="007339F7" w:rsidRDefault="005F6FDF" w:rsidP="005F6FDF">
      <w:pPr>
        <w:spacing w:after="0" w:line="36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направлению врача медицинской организации, независимо от формы собственности и ведомственной принадлежности; скорой медицинской помощью;</w:t>
      </w:r>
    </w:p>
    <w:p w:rsidR="005F6FDF" w:rsidRPr="007339F7" w:rsidRDefault="005F6FDF" w:rsidP="005F6FDF">
      <w:pPr>
        <w:spacing w:after="0" w:line="36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самостоятельном обращении больного по экстренным показаниям. Экстренная госпитализация осуществляется безотлагательно, вне очереди.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направлением пациента на плановое стационарное лечение должно быть проведено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догоспитальное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обследование в соответствии с установленными требованиями.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Больные могут быть размещены в палатах от двух и более мест.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госпитальном этапах.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медицинским показаниям больным предоставляется пост индивидуального ухода.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Необходимые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8.7.1. В дневных стационарах всех типов плановая госпитализация осуществляется по направлению лечащего врача поликлиники.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дневных стационарах всех типов лечение пациентов по следующим показаниям: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необходимость продолжения курса лечения после выписки из круглосуточного стационара;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аллергоспецифической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иммунотерапии (АСИТ) детям до 14 лет и детям-инвалидам до 18 лет;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реабилитационного и оздоровительного лечения больных и инвалидов, беременных женщин;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№ 3 к Программе.</w:t>
      </w:r>
    </w:p>
    <w:p w:rsidR="005F6FDF" w:rsidRPr="00246BB3" w:rsidRDefault="005F6FDF" w:rsidP="005F6FDF">
      <w:pPr>
        <w:widowControl w:val="0"/>
        <w:numPr>
          <w:ilvl w:val="0"/>
          <w:numId w:val="2"/>
        </w:numPr>
        <w:tabs>
          <w:tab w:val="left" w:pos="1253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размещения пациентов в маломестных палатах (боксах) по медицинским и (или) эпидемиологическим показаниям, установленным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Министерством здравоохранения Российской Федерации.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Пациенты в маломестных палатах (боксах) размещаются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5F6FDF" w:rsidRPr="007339F7" w:rsidRDefault="005F6FDF" w:rsidP="005F6FDF">
      <w:pPr>
        <w:widowControl w:val="0"/>
        <w:numPr>
          <w:ilvl w:val="0"/>
          <w:numId w:val="2"/>
        </w:numPr>
        <w:tabs>
          <w:tab w:val="left" w:pos="1330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осуществляются согласно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Согласно пункту 1 статьи 7 Федерального закона от 21 декабря 1996 г. № 159-ФЗ "О дополнительных гарантиях по социальной поддержке детей- сирот и детей, оставшихся без попечения родителей"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высокотехнологичная медицинская помощь, проведение диспансеризации, оздоровления, регулярных медицинских осмотров, также осуществляется их направление на лечение за пределы России за счёт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Указом Президента РФ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предусмотрено обеспечение совершенствования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осуществление контроля за качеством проведения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</w:t>
      </w:r>
    </w:p>
    <w:p w:rsidR="00C021E6" w:rsidRDefault="005F6FDF" w:rsidP="00C021E6">
      <w:pPr>
        <w:tabs>
          <w:tab w:val="left" w:pos="6826"/>
        </w:tabs>
        <w:spacing w:after="0" w:line="360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 исполнение Указа Президента РФ принято постановление Правительства РФ от 14 февраля 2013 г. №116 «О мерах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посовершенствованию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организации медицинской помощи детям-сиротам и детям, оставшимся без попечения родителей», а также Приказ Министерства здравоохранения РФ от 11 апреля 2013 г. № 216н «Об утверждении порядка диспансеризации детей-сирот и детей, оставшихся без попечения родителей, в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том</w:t>
      </w:r>
      <w:proofErr w:type="gramEnd"/>
    </w:p>
    <w:p w:rsidR="005F6FDF" w:rsidRPr="007339F7" w:rsidRDefault="00C021E6" w:rsidP="00C021E6">
      <w:pPr>
        <w:tabs>
          <w:tab w:val="left" w:pos="68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усыновлённых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(удочерённых),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(попечительство), в приёмную или патронатную семью». </w:t>
      </w:r>
      <w:proofErr w:type="gramStart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усыновлённых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(удочерённых),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(попечительство) в приёмную или патронатную семью, за исключением детей-сирот и детей, оставшихся без попечения родителей, пребывающих в стационарных учреждениях.</w:t>
      </w:r>
      <w:proofErr w:type="gramEnd"/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505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медицинскую помощь пациенту, осуществляется за счет средств медицинской организации.</w:t>
      </w:r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505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и сроки диспансеризации населения для отдельных категорий населения.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5F6FDF" w:rsidRPr="007339F7" w:rsidRDefault="00C021E6" w:rsidP="00C021E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определенных гру</w:t>
      </w:r>
      <w:proofErr w:type="gramStart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пп взр</w:t>
      </w:r>
      <w:proofErr w:type="gramEnd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ослого населения проводится путем углубленного обследования состояния здоровья граждан в целях:</w:t>
      </w:r>
    </w:p>
    <w:p w:rsidR="005F6FDF" w:rsidRPr="007339F7" w:rsidRDefault="00C021E6" w:rsidP="00C021E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proofErr w:type="gramStart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дислипидемия</w:t>
      </w:r>
      <w:proofErr w:type="spellEnd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 w:rsidR="005F6FDF"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врача;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сердечно-сосудистым</w:t>
      </w:r>
      <w:proofErr w:type="spellEnd"/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риском;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сердечно-сосудистым</w:t>
      </w:r>
      <w:proofErr w:type="spellEnd"/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риском.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пп взр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ослого населения", за исключением:</w:t>
      </w:r>
    </w:p>
    <w:p w:rsidR="005F6FDF" w:rsidRPr="007339F7" w:rsidRDefault="005F6FDF" w:rsidP="005F6FDF">
      <w:pPr>
        <w:widowControl w:val="0"/>
        <w:numPr>
          <w:ilvl w:val="0"/>
          <w:numId w:val="5"/>
        </w:numPr>
        <w:tabs>
          <w:tab w:val="left" w:pos="108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5F6FDF" w:rsidRPr="007339F7" w:rsidRDefault="005F6FDF" w:rsidP="005F6FDF">
      <w:pPr>
        <w:widowControl w:val="0"/>
        <w:numPr>
          <w:ilvl w:val="0"/>
          <w:numId w:val="5"/>
        </w:numPr>
        <w:tabs>
          <w:tab w:val="left" w:pos="108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диспансеризации, проводимой ежегодно вне зависимости от возраста в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отношении отдельных категорий граждан, включая:</w:t>
      </w:r>
    </w:p>
    <w:p w:rsidR="005F6FDF" w:rsidRPr="007339F7" w:rsidRDefault="005F6FDF" w:rsidP="005F6FDF">
      <w:pPr>
        <w:tabs>
          <w:tab w:val="left" w:pos="108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F6FDF" w:rsidRPr="007339F7" w:rsidRDefault="005F6FDF" w:rsidP="005F6FDF">
      <w:pPr>
        <w:tabs>
          <w:tab w:val="left" w:pos="108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5F6FDF" w:rsidRPr="007339F7" w:rsidRDefault="005F6FDF" w:rsidP="005F6FDF">
      <w:pPr>
        <w:tabs>
          <w:tab w:val="left" w:pos="108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приказом Министерства здравоохранения РФ от 26.10.2017 № 869н "Об утверждении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порядка проведения диспансеризации определенных групп взрослого населения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подпунктом 2 пункта 1 статьи 2 Закона Республики Саха (Якутия) от 14 марта 2016 г. 1614-З № 785-V «О мерах социальной поддержки граждан, потерявших одного из родителей в период Великой Отечественной войны 1941 - 1945 годов», гражданам, не достигшим возраста 18 лет по состоянию на 3 сентября 1945 года, один из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родителей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которых являлся участником Великой Отечественной войны и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</w:t>
      </w:r>
      <w:proofErr w:type="gramEnd"/>
    </w:p>
    <w:p w:rsidR="005F6FDF" w:rsidRPr="007339F7" w:rsidRDefault="005F6FDF" w:rsidP="005F6FDF">
      <w:pPr>
        <w:tabs>
          <w:tab w:val="left" w:pos="2088"/>
          <w:tab w:val="left" w:pos="7114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или «акушерству и гинекологии (за исключением вспомогательных репродуктивных технологий)», «акушерскому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делу»</w:t>
      </w:r>
      <w:r w:rsidR="00B632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или «лечебному делу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</w:t>
      </w:r>
      <w:r w:rsidR="00B632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«офтальмологии»,</w:t>
      </w:r>
    </w:p>
    <w:p w:rsidR="005F6FDF" w:rsidRPr="007339F7" w:rsidRDefault="005F6FDF" w:rsidP="00246BB3">
      <w:pPr>
        <w:tabs>
          <w:tab w:val="left" w:pos="2088"/>
          <w:tab w:val="left" w:pos="7114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«неврологии», «хирургии», «рентгенологии», «клинической лабораторной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диаг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ностике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или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«лабораторной диагностике»,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«функциональной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диагностике», «ультразвуковой диагностике», «эндоскопии».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 специалистами для уточнения диагноза заболевания (состояния) на втором этапе диспансеризации.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критериями эффективности диспансеризации взрослого населения являются:</w:t>
      </w:r>
    </w:p>
    <w:p w:rsidR="005F6FDF" w:rsidRPr="007339F7" w:rsidRDefault="005F6FDF" w:rsidP="005F6FDF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5F6FDF" w:rsidRPr="007339F7" w:rsidRDefault="005F6FDF" w:rsidP="005F6FDF">
      <w:pPr>
        <w:widowControl w:val="0"/>
        <w:numPr>
          <w:ilvl w:val="0"/>
          <w:numId w:val="6"/>
        </w:numPr>
        <w:tabs>
          <w:tab w:val="left" w:pos="1388"/>
          <w:tab w:val="left" w:pos="2482"/>
          <w:tab w:val="left" w:pos="4935"/>
          <w:tab w:val="left" w:pos="6951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охват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индивидуальным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углубленным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профилактическим</w:t>
      </w:r>
    </w:p>
    <w:p w:rsidR="005F6FDF" w:rsidRPr="007339F7" w:rsidRDefault="005F6FDF" w:rsidP="00246BB3">
      <w:pPr>
        <w:tabs>
          <w:tab w:val="left" w:pos="69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консультированием граждан со II и Ша группой состояния здоровья, а также граждан с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</w:t>
      </w:r>
      <w:proofErr w:type="gramEnd"/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 группой состояния здоровья, имеющих высокий и очень высокий суммарный (абсолютный или относительный)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сердечно-сосудистый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риск (плановое значение - не менее 60% от имеющих медицинские показания для проведения индивидуального углубленного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профилактического</w:t>
      </w:r>
      <w:r w:rsidR="00246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консультирования);</w:t>
      </w:r>
    </w:p>
    <w:p w:rsidR="005F6FDF" w:rsidRPr="007339F7" w:rsidRDefault="005F6FDF" w:rsidP="005F6FDF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охват групповым профилактическим консультированием (школа пациента) граждан с II и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группами состояния здоровья, а также граждан с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Шб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сердечно-сосудистый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климатическими и географическими особенностями республики и транспортной доступности медицинских организаций.</w:t>
      </w:r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613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Целевые значения критериев доступности и качества медицинской помощи, оказываемой в рамках территориальной программы, установлены согласно разделу IX Программы.</w:t>
      </w:r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388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устанавливаются согласно приложению № 4 к Программе.</w:t>
      </w:r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374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ожидания меди</w:t>
      </w:r>
      <w:r w:rsidRPr="007339F7">
        <w:rPr>
          <w:rStyle w:val="20"/>
          <w:rFonts w:eastAsiaTheme="minorHAnsi"/>
          <w:sz w:val="24"/>
          <w:szCs w:val="24"/>
        </w:rPr>
        <w:t>ц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:rsidR="005F6FDF" w:rsidRPr="007339F7" w:rsidRDefault="005F6FDF" w:rsidP="005F6FDF">
      <w:pPr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5F6FDF" w:rsidRPr="007339F7" w:rsidRDefault="005F6FDF" w:rsidP="005F6FDF">
      <w:pPr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5F6FDF" w:rsidRPr="007339F7" w:rsidRDefault="005F6FDF" w:rsidP="005F6FDF">
      <w:pPr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5F6FDF" w:rsidRPr="007339F7" w:rsidRDefault="005F6FDF" w:rsidP="005F6FDF">
      <w:pPr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5F6FDF" w:rsidRPr="007339F7" w:rsidRDefault="005F6FDF" w:rsidP="005F6FDF">
      <w:pPr>
        <w:tabs>
          <w:tab w:val="left" w:pos="2002"/>
          <w:tab w:val="left" w:pos="4211"/>
        </w:tabs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проведения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диагностических инструментальных</w:t>
      </w:r>
    </w:p>
    <w:p w:rsidR="005F6FDF" w:rsidRPr="007339F7" w:rsidRDefault="005F6FDF" w:rsidP="005F6FD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5F6FDF" w:rsidRPr="007339F7" w:rsidRDefault="005F6FDF" w:rsidP="005F6FDF">
      <w:pPr>
        <w:tabs>
          <w:tab w:val="left" w:pos="2002"/>
          <w:tab w:val="left" w:pos="6595"/>
        </w:tabs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компьютерной томографии (включая однофотонную эмиссионную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компьютерную томографию),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магнитно-резонансной</w:t>
      </w:r>
    </w:p>
    <w:p w:rsidR="005F6FDF" w:rsidRPr="007339F7" w:rsidRDefault="005F6FDF" w:rsidP="005F6FD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5F6FDF" w:rsidRPr="007339F7" w:rsidRDefault="005F6FDF" w:rsidP="005F6FDF">
      <w:pPr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время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доезда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доезда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бригад скорой медицинской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регионов;</w:t>
      </w:r>
    </w:p>
    <w:p w:rsidR="005F6FDF" w:rsidRPr="007339F7" w:rsidRDefault="005F6FDF" w:rsidP="005F6FDF">
      <w:pPr>
        <w:spacing w:after="0" w:line="360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медицинскую организации.</w:t>
      </w:r>
      <w:proofErr w:type="gramEnd"/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383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 - 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  <w:proofErr w:type="gramEnd"/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Регистрация и осмотр пациента, направленного в стационарное учреждение в плановом порядке, проводится медицинским работником имею</w:t>
      </w:r>
      <w:r w:rsidRPr="007339F7">
        <w:rPr>
          <w:rStyle w:val="20"/>
          <w:rFonts w:eastAsiaTheme="minorHAnsi"/>
          <w:sz w:val="24"/>
          <w:szCs w:val="24"/>
        </w:rPr>
        <w:t>щ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 среднее или высшее медицинское образование, в течение 2 часов с момента поступления, по экстренным показаниям - незамедлительно.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- не позднее чем через 1 час.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законным представителем, медицинским работником и содержится в медицинской документации пациента.</w:t>
      </w:r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383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 стандартами медицинской помощи, порядками оказания медицинской помощи и сложившейся клинической практикой.</w:t>
      </w:r>
    </w:p>
    <w:p w:rsidR="005F6FDF" w:rsidRPr="007339F7" w:rsidRDefault="005F6FDF" w:rsidP="005F6FDF">
      <w:pPr>
        <w:widowControl w:val="0"/>
        <w:numPr>
          <w:ilvl w:val="0"/>
          <w:numId w:val="4"/>
        </w:numPr>
        <w:tabs>
          <w:tab w:val="left" w:pos="1675"/>
        </w:tabs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здравоохранения. В медицинской карте больного (амбулаторного/стационарного) записи должны быть: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четкими и читабельными;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фамилия и инициалы врача должны быть записаны полностью;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направление на диагностические исследования, консультации специалистов в амбулаторных условиях выдается лечащим врачом. В медицинской карте должны быть проставлены конкретные даты назначаемых исследований, консультаций специалистов и др.;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обращение пациента на консультацию к врачу- специалисту возможно при наличии экстренных и неотложных показаний и в соответствии с порядками оказания медицинской помощи;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обращение пациента на консультацию к врачу-специалисту по собственному желанию при отсутствии медицинских показаний осуществляется за счет личных сре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гр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ажданина;</w:t>
      </w:r>
    </w:p>
    <w:p w:rsidR="005F6FDF" w:rsidRPr="007339F7" w:rsidRDefault="005F6FDF" w:rsidP="005F6FDF">
      <w:pPr>
        <w:spacing w:after="0" w:line="3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врач-специалист, осуществивший консультацию пациента по направлению, обязан довести результаты консультации до </w:t>
      </w:r>
      <w:proofErr w:type="gram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</w:t>
      </w:r>
      <w:proofErr w:type="gram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лечащего врача;</w:t>
      </w:r>
    </w:p>
    <w:p w:rsidR="005F6FDF" w:rsidRPr="007339F7" w:rsidRDefault="005F6FDF" w:rsidP="005F6FDF">
      <w:pPr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прохождении пациентом диагностических исследований и/или консультаций специалистов на платной основе в медицинскую карту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</w:t>
      </w:r>
    </w:p>
    <w:p w:rsidR="005F6FDF" w:rsidRPr="007339F7" w:rsidRDefault="005F6FDF" w:rsidP="005F6FDF">
      <w:pPr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 утрату медицинской документации предусмотрена ответственность в соответствии с действующим законодательством.</w:t>
      </w:r>
    </w:p>
    <w:p w:rsidR="005F6FDF" w:rsidRPr="007339F7" w:rsidRDefault="005F6FDF" w:rsidP="005F6FDF">
      <w:pPr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5F6FDF" w:rsidRPr="007339F7" w:rsidRDefault="005F6FDF" w:rsidP="005F6FDF">
      <w:pPr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5F6FDF" w:rsidRPr="007339F7" w:rsidRDefault="005F6FDF" w:rsidP="005F6FDF">
      <w:pPr>
        <w:spacing w:after="0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здравоохранения Республики Саха (Якутия) телефон «Горячей линии» 8-800-100-1403.</w:t>
      </w:r>
    </w:p>
    <w:p w:rsidR="005F6FDF" w:rsidRPr="007339F7" w:rsidRDefault="005F6FDF" w:rsidP="005F6FDF">
      <w:pPr>
        <w:spacing w:after="304" w:line="360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(Якутия), включая Общественный совет при Министерстве здравоохранения Республики Саха (Якутия), региональное отделение Общественного совета по защите прав пациентов при территориальном органе </w:t>
      </w:r>
      <w:proofErr w:type="spellStart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Росздравнадзора</w:t>
      </w:r>
      <w:proofErr w:type="spellEnd"/>
      <w:r w:rsidRPr="00733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профессиональные некоммерческие медицинские организации.</w:t>
      </w:r>
    </w:p>
    <w:p w:rsidR="002678EB" w:rsidRPr="007339F7" w:rsidRDefault="002678EB">
      <w:pPr>
        <w:rPr>
          <w:rFonts w:ascii="Times New Roman" w:hAnsi="Times New Roman" w:cs="Times New Roman"/>
          <w:sz w:val="24"/>
          <w:szCs w:val="24"/>
        </w:rPr>
      </w:pPr>
    </w:p>
    <w:sectPr w:rsidR="002678EB" w:rsidRPr="007339F7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600"/>
    <w:multiLevelType w:val="multilevel"/>
    <w:tmpl w:val="94E6A5F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9083E"/>
    <w:multiLevelType w:val="multilevel"/>
    <w:tmpl w:val="AFC0C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428CB"/>
    <w:multiLevelType w:val="multilevel"/>
    <w:tmpl w:val="7A56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17EE9"/>
    <w:multiLevelType w:val="multilevel"/>
    <w:tmpl w:val="EEAE26B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73046"/>
    <w:multiLevelType w:val="multilevel"/>
    <w:tmpl w:val="6538A7BC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73785"/>
    <w:multiLevelType w:val="multilevel"/>
    <w:tmpl w:val="6CBE22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DF"/>
    <w:rsid w:val="00246BB3"/>
    <w:rsid w:val="002678EB"/>
    <w:rsid w:val="005F43B6"/>
    <w:rsid w:val="005F562B"/>
    <w:rsid w:val="005F6FDF"/>
    <w:rsid w:val="007339F7"/>
    <w:rsid w:val="00AE380E"/>
    <w:rsid w:val="00AF37FD"/>
    <w:rsid w:val="00B632E9"/>
    <w:rsid w:val="00C021E6"/>
    <w:rsid w:val="00F8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F6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F6FD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F6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F6FDF"/>
    <w:pPr>
      <w:widowControl w:val="0"/>
      <w:shd w:val="clear" w:color="auto" w:fill="FFFFFF"/>
      <w:spacing w:after="420" w:line="0" w:lineRule="atLeast"/>
      <w:ind w:hanging="12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2018-01-23T06:44:00Z</dcterms:created>
  <dcterms:modified xsi:type="dcterms:W3CDTF">2018-01-23T06:44:00Z</dcterms:modified>
</cp:coreProperties>
</file>