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Министерство образования и науки Республики Саха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Якутия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Государственное автономное учреждение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дополнительного образования Республики Саха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Якутия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«Центр отдыха и оздоровления детей «Сосновый бор»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5386" w:type="dxa"/>
        <w:jc w:val="left"/>
        <w:tblInd w:w="1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6"/>
      </w:tblGrid>
      <w:tr>
        <w:tblPrEx>
          <w:shd w:val="clear" w:color="auto" w:fill="d0ddef"/>
        </w:tblPrEx>
        <w:trPr>
          <w:trHeight w:val="2069" w:hRule="atLeast"/>
        </w:trPr>
        <w:tc>
          <w:tcPr>
            <w:tcW w:type="dxa" w:w="53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righ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УТВЕРЖДЕНО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Приказом директора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 ГАУ ДО РС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«ЦОиОД «Сосновый бор»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_______________2021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____             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______________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Иванова</w:t>
            </w:r>
          </w:p>
        </w:tc>
      </w:tr>
    </w:tbl>
    <w:p>
      <w:pPr>
        <w:pStyle w:val="Normal.0"/>
        <w:widowControl w:val="0"/>
        <w:spacing w:after="0" w:line="240" w:lineRule="auto"/>
        <w:ind w:left="85" w:hanging="8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ПОЛОЖЕНИЕ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проведении конкурса новогодних рисунков и поделок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«Мастерская Деда Мороза»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память о педагоге дополнительного образования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 отдыха и оздоровления детей «Сосновый бор»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Хабаровой Мотрене Николаевне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Якутск</w:t>
      </w:r>
      <w:r>
        <w:rPr>
          <w:rFonts w:ascii="Times New Roman" w:hAnsi="Times New Roman"/>
          <w:rtl w:val="0"/>
          <w:lang w:val="ru-RU"/>
        </w:rPr>
        <w:t>, 2021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Организаторы и цели конкурса</w:t>
      </w:r>
    </w:p>
    <w:p>
      <w:pPr>
        <w:pStyle w:val="Normal (Web)"/>
        <w:numPr>
          <w:ilvl w:val="2"/>
          <w:numId w:val="4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Настоящее положение определяет статус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организации и проведения конкурса новогодних рисунков и поделок «Мастерская Деда Мороза» в память о педагоге дополнительного образования Центра отдыха и оздоровления детей «Сосновый бор» Хабаровой Мотрены Николаевны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numPr>
          <w:ilvl w:val="2"/>
          <w:numId w:val="4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Организатором Конкурса является ГАУ ДО РС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ЦОиОД «Сосновый 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Организатор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 (Web)"/>
        <w:numPr>
          <w:ilvl w:val="2"/>
          <w:numId w:val="4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 проведение Конкурса строится на принципах общедоступности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свободного развития личности и свободы творческого самовыражения участников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 обеспечивает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равные условия для всех участников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просмотр и оценку работ участников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публикация работ занявших призовые места на сайте и инстаграмм странице «Соснового бора»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и задачи конкурса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1.2.1.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конкурса – развитие у детей творческой активности и интереса к культурным традициям через участие в конкурсе новогодних рисунков и поделок «Мастерская Деда Мороза»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Конкурса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спектра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демонстрацию творческих способностей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выявление одаренных детей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изобразительная одарённость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обогащение представлений об окружающем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восприятия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образного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изобразительных умений и навыков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различным способам и техникам изображения предметов и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поднятие эмоциональной атмосферы в преддверии новогоднего праздника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Жюри Конкурса</w:t>
      </w:r>
    </w:p>
    <w:p>
      <w:pPr>
        <w:pStyle w:val="Normal (Web)"/>
        <w:widowControl w:val="0"/>
        <w:numPr>
          <w:ilvl w:val="2"/>
          <w:numId w:val="6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 Конкурса образует и утверждает состав жюри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widowControl w:val="0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1.3.2.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жюри Конкурса включены представители Центра «Сосновый бор»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терапевт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 прикладник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widowControl w:val="0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Численный состав жюри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widowControl w:val="0"/>
        <w:numPr>
          <w:ilvl w:val="2"/>
          <w:numId w:val="9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Жюри оценивает представленные Работы участников Конкурса и определяет победителей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widowControl w:val="0"/>
        <w:numPr>
          <w:ilvl w:val="2"/>
          <w:numId w:val="8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Результаты Конкурса оформляются протоколом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подписывается членами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 (Web)"/>
        <w:widowControl w:val="0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Состав жюри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 (Web)"/>
        <w:widowControl w:val="0"/>
        <w:numPr>
          <w:ilvl w:val="0"/>
          <w:numId w:val="11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Бетюнская Вера Петровна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начальник отдела воспитания и дополнительного образования Центра «Сосновый бор»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widowControl w:val="0"/>
        <w:numPr>
          <w:ilvl w:val="0"/>
          <w:numId w:val="11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Щукина Кюна Егоровна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терапевт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 психологических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терапевтической мастерской </w:t>
      </w:r>
      <w:r>
        <w:rPr>
          <w:rFonts w:ascii="Times New Roman" w:hAnsi="Times New Roman"/>
          <w:sz w:val="24"/>
          <w:szCs w:val="24"/>
          <w:rtl w:val="0"/>
          <w:lang w:val="en-US"/>
        </w:rPr>
        <w:t>Vincent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Hall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член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widowControl w:val="0"/>
        <w:numPr>
          <w:ilvl w:val="0"/>
          <w:numId w:val="11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Луканси Семен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 живописец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Союза художнико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стажер при Российской Академии художеств – член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widowControl w:val="0"/>
        <w:numPr>
          <w:ilvl w:val="0"/>
          <w:numId w:val="11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Хабаров Александр Прокопьевич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заместитель начальника отдела организации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оздоровления и питания школьников Центра «Сосновый бор» – член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widowControl w:val="0"/>
        <w:numPr>
          <w:ilvl w:val="0"/>
          <w:numId w:val="11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Попова Валерия Витальевна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психолог Центра «Сосновый бор»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ответственный секретарь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Normal (Web)"/>
        <w:spacing w:before="0" w:after="0" w:line="360" w:lineRule="auto"/>
        <w:ind w:left="709" w:hanging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Условия Конкурса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Конкурса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Предметом Конкурса являются детские творческие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отражающие основную цель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задачи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Номинации конкурса – «Мастерская Деда Мороза»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Рисунок на новогоднюю тему</w:t>
      </w: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Поделка на новогоднюю тему</w:t>
      </w: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Ёлочная игрушка</w:t>
      </w: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«Символ года»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Участники Конкурса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Конкурсе может принять любой желающий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 проводится в следующих возрастных категориях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младшая возрастная категория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(6-9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средняя возрастная категория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(10-13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старшая возрастная категория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(14-18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Один участник может представить на Конкурс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одну творческую работу на каждую из номинаций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и сроки проведения Конкурса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Прием работ на Конкурс осуществляется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Заявкой на участие в Конкурсе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является письмо содержащее таблицу с данными участника конкурса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прикрепленный файл в формате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*pdf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изображением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названии файла необходимо указать ФИО участника и название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отправленное на электронную почту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"mailto:valeriya_ko94@mail.ru"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valeriya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ko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94@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ru</w:t>
      </w:r>
      <w:r>
        <w:rPr/>
        <w:fldChar w:fldCharType="end" w:fldLock="0"/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строке темы письма необходимо указать “Конкурс рисунка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«Мастерская Деда Мороза»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</w:p>
    <w:p>
      <w:pPr>
        <w:pStyle w:val="Normal (Web)"/>
        <w:widowControl w:val="0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Каждая заявка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 содержать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 (Web)"/>
        <w:widowControl w:val="0"/>
        <w:numPr>
          <w:ilvl w:val="0"/>
          <w:numId w:val="15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данные образовательного учреждения – улус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</w:p>
    <w:p>
      <w:pPr>
        <w:pStyle w:val="Normal (Web)"/>
        <w:widowControl w:val="0"/>
        <w:numPr>
          <w:ilvl w:val="0"/>
          <w:numId w:val="15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таблицу с краткой информацией об Участниках – 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 (Web)"/>
        <w:widowControl w:val="0"/>
        <w:numPr>
          <w:ilvl w:val="0"/>
          <w:numId w:val="15"/>
        </w:numPr>
        <w:bidi w:val="0"/>
        <w:spacing w:before="0"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краткую информацию о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техника</w:t>
      </w:r>
    </w:p>
    <w:p>
      <w:pPr>
        <w:pStyle w:val="Normal (Web)"/>
        <w:widowControl w:val="0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Присланные заявки проверяются ответственным секретарем Конкурса на соответствие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предъявляемым к работам участников Конкурса и указанным в настоящем Положении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передаются членам жюри для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widowControl w:val="0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2.3.5.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соответствующие тематике Конкурса или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в данном Положении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участию в Конкурсе не допускаются и не рассматриваются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left="709" w:hanging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конкурсным работам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2.4.1.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Конкурс принимаются изображения не меньше формата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больше формата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любой̆ технике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любых средств для рисования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материала  на выбор Участника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созданные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left="709" w:hanging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Конкурс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принимаются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выполненные с применением программ для графического моделирования и дизайна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изготовленные из покупных комплектующих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готовых конструкций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участию в Конкурсе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left="709" w:hanging="709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2.4.3.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Предоставление творческих работ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Конкурс означает автоматическое согласие автора работы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официального представителя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условиями Конкурса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правом организатора на обработку персональных данных</w:t>
      </w:r>
      <w:r>
        <w:rPr>
          <w:rFonts w:ascii="Times New Roman" w:hAnsi="Times New Roman"/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согласие</w:t>
      </w:r>
      <w:r>
        <w:rPr>
          <w:rFonts w:ascii="Times New Roman" w:hAnsi="Times New Roman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возможное размещение рисунков на сайте </w:t>
        <w:tab/>
        <w:t xml:space="preserve">Центра «Сосновый бор» </w:t>
      </w:r>
      <w:r>
        <w:rPr>
          <w:rFonts w:ascii="Times New Roman" w:hAnsi="Times New Roman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pacing w:val="-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возможную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публикацию рисунков в электронных и печатных версиях СМИ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spacing w:before="0" w:after="0" w:line="36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использование рисунков для подготовки внутренних отчетов Организатора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360" w:lineRule="auto"/>
        <w:ind w:left="709" w:hanging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360" w:lineRule="auto"/>
        <w:ind w:left="709" w:hanging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360" w:lineRule="auto"/>
        <w:ind w:left="709" w:hanging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360" w:lineRule="auto"/>
        <w:ind w:left="709" w:hanging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Подведение итогов Конкурса и награждение победителей</w:t>
      </w:r>
    </w:p>
    <w:p>
      <w:pPr>
        <w:pStyle w:val="List Paragraph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участников Конкурса оцениваются в каждой возрастной группе по следующим критериям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оригинальность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динамичность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выразительность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итогам рассмотрения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на Конкурс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определяются его победители и призеры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участники получают сертификаты участника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Победители в каждой возрастной категории и каждой номинации награждаются ценными подарками и дипломами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призёры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награждаются ценными подарками и соответствующими дипломами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спецприз от родственников Хабаровой Мотрены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36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1a0dab"/>
          <w:sz w:val="24"/>
          <w:szCs w:val="24"/>
          <w:u w:val="single" w:color="1a0dab"/>
          <w:shd w:val="clear" w:color="auto" w:fill="ffffff"/>
          <w14:textFill>
            <w14:solidFill>
              <w14:srgbClr w14:val="1A0DAB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Объявление победителей и результатов Конкурса публикуются на сайте Центра «Сосновый бор»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https://sosnovybor-ykt.ru/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инстаграмм странице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"https://www.instagram.com/sosnovybor_ykt/"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sosnovybor_ykt </w:t>
      </w:r>
      <w:r>
        <w:rPr>
          <w:rStyle w:val="Hyperlink.1"/>
          <w:rtl w:val="0"/>
          <w:lang w:val="ru-RU"/>
        </w:rPr>
        <w:t>не раньше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чем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/>
        <w:fldChar w:fldCharType="end" w:fldLock="0"/>
      </w:r>
    </w:p>
    <w:p>
      <w:pPr>
        <w:pStyle w:val="List Paragraph"/>
        <w:widowControl w:val="0"/>
        <w:spacing w:after="0" w:line="360" w:lineRule="auto"/>
        <w:ind w:left="36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Работы победителей и призеров Конкурса будут размещены на сайте Центра «Сосновый бор» и инстаграмм странице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"https://www.instagram.com/sosnovybor_ykt/"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sosnovybor_ykt.</w:t>
      </w:r>
      <w:r>
        <w:rPr/>
        <w:fldChar w:fldCharType="end" w:fldLock="0"/>
      </w:r>
    </w:p>
    <w:p>
      <w:pPr>
        <w:pStyle w:val="List Paragraph"/>
        <w:widowControl w:val="0"/>
        <w:spacing w:after="0" w:line="360" w:lineRule="auto"/>
        <w:ind w:left="36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Сертификаты и дипломы будут направлены на адрес электронной почты указанной в заявке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footer"/>
        <w:tabs>
          <w:tab w:val="right" w:pos="9329"/>
          <w:tab w:val="clear" w:pos="9355"/>
        </w:tabs>
        <w:spacing w:line="360" w:lineRule="auto"/>
        <w:jc w:val="right"/>
        <w:rPr>
          <w:rStyle w:val="Нет"/>
          <w:i w:val="1"/>
          <w:iCs w:val="1"/>
          <w:sz w:val="20"/>
          <w:szCs w:val="20"/>
        </w:rPr>
      </w:pPr>
    </w:p>
    <w:p>
      <w:pPr>
        <w:pStyle w:val="footer"/>
        <w:tabs>
          <w:tab w:val="right" w:pos="9329"/>
          <w:tab w:val="clear" w:pos="9355"/>
        </w:tabs>
        <w:spacing w:line="360" w:lineRule="auto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всем вопросам обращаться ответственному секретарю Конкурса </w:t>
      </w:r>
    </w:p>
    <w:p>
      <w:pPr>
        <w:pStyle w:val="footer"/>
        <w:tabs>
          <w:tab w:val="right" w:pos="9329"/>
          <w:tab w:val="clear" w:pos="9355"/>
        </w:tabs>
        <w:spacing w:line="360" w:lineRule="auto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Поповой Валерии Витальевне в рабочее время  по номеру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8(914)2862145 </w:t>
      </w:r>
    </w:p>
    <w:p>
      <w:pPr>
        <w:pStyle w:val="Normal.0"/>
        <w:widowControl w:val="0"/>
        <w:spacing w:after="0" w:line="360" w:lineRule="auto"/>
        <w:ind w:left="709" w:hanging="709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360" w:lineRule="auto"/>
        <w:ind w:left="709" w:hanging="709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Желаем успехов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360" w:lineRule="auto"/>
        <w:ind w:left="709" w:hanging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ind w:left="39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Заявка на участие в конкурсе «Мастерская Деда Мороза»</w:t>
      </w:r>
    </w:p>
    <w:p>
      <w:pPr>
        <w:pStyle w:val="Normal.0"/>
        <w:spacing w:after="0" w:line="36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3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4"/>
        <w:gridCol w:w="1983"/>
        <w:gridCol w:w="1110"/>
        <w:gridCol w:w="1418"/>
        <w:gridCol w:w="1559"/>
        <w:gridCol w:w="1559"/>
        <w:gridCol w:w="2127"/>
      </w:tblGrid>
      <w:tr>
        <w:tblPrEx>
          <w:shd w:val="clear" w:color="auto" w:fill="d0ddef"/>
        </w:tblPrEx>
        <w:trPr>
          <w:trHeight w:val="1635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Информация об участнике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5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Контактные данные</w:t>
            </w:r>
          </w:p>
        </w:tc>
      </w:tr>
      <w:tr>
        <w:tblPrEx>
          <w:shd w:val="clear" w:color="auto" w:fill="d0ddef"/>
        </w:tblPrEx>
        <w:trPr>
          <w:trHeight w:val="2969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 рождения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улус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город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село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школа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</w:t>
            </w: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Номинация</w:t>
            </w: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Название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Материалы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техника</w:t>
            </w: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Номер телефона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электронная почта </w:t>
            </w:r>
          </w:p>
        </w:tc>
      </w:tr>
    </w:tbl>
    <w:p>
      <w:pPr>
        <w:pStyle w:val="Normal.0"/>
        <w:widowControl w:val="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left="39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360" w:lineRule="auto"/>
      </w:pPr>
      <w:r>
        <w:rPr>
          <w:rStyle w:val="Нет"/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369" w:hanging="10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089" w:hanging="13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449" w:hanging="13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169" w:hanging="17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529" w:hanging="17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249" w:hanging="20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969" w:hanging="24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3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213" w:hanging="8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1717" w:hanging="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2221" w:hanging="1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2725" w:hanging="1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32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3805" w:hanging="1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1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190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232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310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35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430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15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135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192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2347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3133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355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4345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660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862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933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1364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1435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1866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1937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2368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-"/>
      <w:lvlJc w:val="left"/>
      <w:pPr>
        <w:ind w:left="709" w:hanging="70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70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9" w:hanging="70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70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9" w:hanging="70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70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2">
      <w:startOverride w:val="4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  <w:lang w:val="en-US"/>
    </w:r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00"/>
      <w:sz w:val="24"/>
      <w:szCs w:val="24"/>
      <w:u w:color="000000"/>
      <w:shd w:val="clear" w:color="auto" w:fill="ffffff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